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BA4FCC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084B9A" w:rsidRPr="00084B9A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9A">
        <w:rPr>
          <w:rFonts w:ascii="Times New Roman" w:hAnsi="Times New Roman" w:cs="Times New Roman"/>
          <w:b/>
          <w:sz w:val="26"/>
          <w:szCs w:val="26"/>
        </w:rPr>
        <w:t xml:space="preserve">проведения общественных слушаний проектной документации, </w:t>
      </w:r>
    </w:p>
    <w:p w:rsidR="00084B9A" w:rsidRPr="00084B9A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9A">
        <w:rPr>
          <w:rFonts w:ascii="Times New Roman" w:hAnsi="Times New Roman" w:cs="Times New Roman"/>
          <w:b/>
          <w:sz w:val="26"/>
          <w:szCs w:val="26"/>
        </w:rPr>
        <w:t xml:space="preserve">включая материалы оценки воздействия на окружающую среду, </w:t>
      </w:r>
    </w:p>
    <w:p w:rsidR="00084B9A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9A">
        <w:rPr>
          <w:rFonts w:ascii="Times New Roman" w:hAnsi="Times New Roman" w:cs="Times New Roman"/>
          <w:b/>
          <w:sz w:val="26"/>
          <w:szCs w:val="26"/>
        </w:rPr>
        <w:t>по объекту государст</w:t>
      </w:r>
      <w:r>
        <w:rPr>
          <w:rFonts w:ascii="Times New Roman" w:hAnsi="Times New Roman" w:cs="Times New Roman"/>
          <w:b/>
          <w:sz w:val="26"/>
          <w:szCs w:val="26"/>
        </w:rPr>
        <w:t>венной экологической экспертизы:</w:t>
      </w:r>
    </w:p>
    <w:p w:rsidR="00B81F58" w:rsidRPr="00BA4FCC" w:rsidRDefault="007C55F4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2AC5" w:rsidRPr="00BA4FCC">
        <w:rPr>
          <w:rFonts w:ascii="Times New Roman" w:hAnsi="Times New Roman" w:cs="Times New Roman"/>
          <w:b/>
          <w:sz w:val="26"/>
          <w:szCs w:val="26"/>
        </w:rPr>
        <w:t xml:space="preserve">«Комбинированная установка гидрокрекинга. Секция гидрокрекинга </w:t>
      </w:r>
    </w:p>
    <w:p w:rsidR="00584259" w:rsidRPr="00BA4FCC" w:rsidRDefault="000F2AC5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и сопутствующие объекты общезаводского хозяйства «Комплекса нефтеперерабатывающих и нефтехимических заводов» г. Нижнекамск»</w:t>
      </w:r>
    </w:p>
    <w:p w:rsidR="000F2AC5" w:rsidRPr="00BA4FCC" w:rsidRDefault="000F2AC5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и время общественных слушаний:</w:t>
      </w:r>
      <w:r w:rsidRPr="00BA4FCC">
        <w:rPr>
          <w:color w:val="000000"/>
          <w:sz w:val="26"/>
          <w:szCs w:val="26"/>
        </w:rPr>
        <w:t xml:space="preserve"> </w:t>
      </w:r>
      <w:r w:rsidR="0065043A">
        <w:rPr>
          <w:color w:val="000000"/>
          <w:sz w:val="26"/>
          <w:szCs w:val="26"/>
        </w:rPr>
        <w:t>08</w:t>
      </w:r>
      <w:r w:rsidRPr="00BA4FCC">
        <w:rPr>
          <w:color w:val="000000"/>
          <w:sz w:val="26"/>
          <w:szCs w:val="26"/>
        </w:rPr>
        <w:t xml:space="preserve"> </w:t>
      </w:r>
      <w:r w:rsidR="0065043A">
        <w:rPr>
          <w:color w:val="000000"/>
          <w:sz w:val="26"/>
          <w:szCs w:val="26"/>
        </w:rPr>
        <w:t>июля</w:t>
      </w:r>
      <w:r w:rsidRPr="00BA4FCC">
        <w:rPr>
          <w:color w:val="000000"/>
          <w:sz w:val="26"/>
          <w:szCs w:val="26"/>
        </w:rPr>
        <w:t xml:space="preserve"> 202</w:t>
      </w:r>
      <w:r w:rsidR="0065043A">
        <w:rPr>
          <w:color w:val="000000"/>
          <w:sz w:val="26"/>
          <w:szCs w:val="26"/>
        </w:rPr>
        <w:t>1</w:t>
      </w:r>
      <w:r w:rsidRPr="00BA4FCC">
        <w:rPr>
          <w:color w:val="000000"/>
          <w:sz w:val="26"/>
          <w:szCs w:val="26"/>
        </w:rPr>
        <w:t xml:space="preserve"> года 1</w:t>
      </w:r>
      <w:r w:rsidR="0065043A">
        <w:rPr>
          <w:color w:val="000000"/>
          <w:sz w:val="26"/>
          <w:szCs w:val="26"/>
        </w:rPr>
        <w:t>6</w:t>
      </w:r>
      <w:r w:rsidRPr="00BA4FCC">
        <w:rPr>
          <w:color w:val="000000"/>
          <w:sz w:val="26"/>
          <w:szCs w:val="26"/>
        </w:rPr>
        <w:t>:00 (МСК).</w:t>
      </w: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оформления протокола общественных слушаний:</w:t>
      </w:r>
      <w:r w:rsidR="0065043A">
        <w:rPr>
          <w:color w:val="000000"/>
          <w:sz w:val="26"/>
          <w:szCs w:val="26"/>
        </w:rPr>
        <w:t xml:space="preserve"> </w:t>
      </w:r>
      <w:r w:rsidR="00854BFB">
        <w:rPr>
          <w:color w:val="000000"/>
          <w:sz w:val="26"/>
          <w:szCs w:val="26"/>
        </w:rPr>
        <w:t>12</w:t>
      </w:r>
      <w:r w:rsidR="0065043A">
        <w:rPr>
          <w:color w:val="000000"/>
          <w:sz w:val="26"/>
          <w:szCs w:val="26"/>
        </w:rPr>
        <w:t xml:space="preserve">  июля</w:t>
      </w:r>
      <w:r w:rsidRPr="00BA4FCC">
        <w:rPr>
          <w:color w:val="000000"/>
          <w:sz w:val="26"/>
          <w:szCs w:val="26"/>
        </w:rPr>
        <w:t xml:space="preserve"> 202</w:t>
      </w:r>
      <w:r w:rsidR="0065043A">
        <w:rPr>
          <w:color w:val="000000"/>
          <w:sz w:val="26"/>
          <w:szCs w:val="26"/>
        </w:rPr>
        <w:t>1</w:t>
      </w:r>
      <w:r w:rsidRPr="00BA4FCC">
        <w:rPr>
          <w:color w:val="000000"/>
          <w:sz w:val="26"/>
          <w:szCs w:val="26"/>
        </w:rPr>
        <w:t xml:space="preserve"> года.</w:t>
      </w: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BA4FCC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65043A">
        <w:tc>
          <w:tcPr>
            <w:tcW w:w="2802" w:type="dxa"/>
          </w:tcPr>
          <w:p w:rsidR="00B81F58" w:rsidRPr="00BA4FCC" w:rsidRDefault="0065043A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Ахметов</w:t>
            </w:r>
            <w:r w:rsidR="00B81F5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1F58" w:rsidRPr="00BA4FCC" w:rsidRDefault="0065043A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 Раилевич</w:t>
            </w:r>
          </w:p>
        </w:tc>
        <w:tc>
          <w:tcPr>
            <w:tcW w:w="7229" w:type="dxa"/>
          </w:tcPr>
          <w:p w:rsidR="00B81F58" w:rsidRPr="00BA4FCC" w:rsidRDefault="0065043A" w:rsidP="0065043A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B81F5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B81F5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Республики Татарстан.</w:t>
            </w:r>
          </w:p>
        </w:tc>
      </w:tr>
    </w:tbl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65043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0E4D67">
        <w:tc>
          <w:tcPr>
            <w:tcW w:w="2802" w:type="dxa"/>
          </w:tcPr>
          <w:p w:rsidR="00B81F58" w:rsidRPr="00BA4FCC" w:rsidRDefault="0065043A" w:rsidP="0065043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Зурбашев</w:t>
            </w:r>
          </w:p>
          <w:p w:rsidR="00B81F58" w:rsidRPr="00BA4FCC" w:rsidRDefault="0065043A" w:rsidP="0065043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7229" w:type="dxa"/>
          </w:tcPr>
          <w:p w:rsidR="00B81F58" w:rsidRPr="00BA4FCC" w:rsidRDefault="0065043A" w:rsidP="0065043A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генерального директора по технической поддержке и качеству АО «ТАНЕКО»</w:t>
            </w:r>
            <w:r w:rsidR="00854BF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81F58" w:rsidRPr="00BA4FCC" w:rsidTr="000E4D67">
        <w:tc>
          <w:tcPr>
            <w:tcW w:w="2802" w:type="dxa"/>
          </w:tcPr>
          <w:p w:rsidR="00B81F58" w:rsidRPr="00BA4FCC" w:rsidRDefault="00B81F58" w:rsidP="0065043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Хамидуллин  </w:t>
            </w:r>
          </w:p>
          <w:p w:rsidR="00B81F58" w:rsidRPr="00BA4FCC" w:rsidRDefault="00B81F58" w:rsidP="0065043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 Рамилевич</w:t>
            </w:r>
          </w:p>
        </w:tc>
        <w:tc>
          <w:tcPr>
            <w:tcW w:w="7229" w:type="dxa"/>
          </w:tcPr>
          <w:p w:rsidR="00B81F58" w:rsidRPr="00BA4FCC" w:rsidRDefault="00B81F58" w:rsidP="0065043A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охраны окружающей среды Управления промышленной безопасности АО «ТАНЕКО»;</w:t>
            </w:r>
          </w:p>
        </w:tc>
      </w:tr>
      <w:tr w:rsidR="00B81F58" w:rsidRPr="00BA4FCC" w:rsidTr="000E4D67">
        <w:tc>
          <w:tcPr>
            <w:tcW w:w="2802" w:type="dxa"/>
          </w:tcPr>
          <w:p w:rsidR="00B81F58" w:rsidRPr="00BA4FCC" w:rsidRDefault="00B81F58" w:rsidP="0065043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BA4FCC" w:rsidRDefault="00B81F58" w:rsidP="0065043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7229" w:type="dxa"/>
          </w:tcPr>
          <w:p w:rsidR="00B81F58" w:rsidRPr="00BA4FCC" w:rsidRDefault="00B81F58" w:rsidP="0065043A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руководитель группы сопровождения проектов службы проектирования Управления по реализации проектов строительства ПАО «Татнефть» им. В.Д.</w:t>
            </w:r>
            <w:r w:rsidR="00EF22A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Шашина.</w:t>
            </w:r>
          </w:p>
        </w:tc>
      </w:tr>
    </w:tbl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Вступительное слово заместителя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Нижнекамского муниципального района </w:t>
      </w:r>
      <w:r w:rsidR="00C4597C">
        <w:rPr>
          <w:rFonts w:ascii="Times New Roman" w:eastAsia="Times New Roman" w:hAnsi="Times New Roman" w:cs="Times New Roman"/>
          <w:sz w:val="26"/>
          <w:szCs w:val="26"/>
        </w:rPr>
        <w:t>Ахметов</w:t>
      </w:r>
      <w:r w:rsidR="00575D53"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C4597C">
        <w:rPr>
          <w:rFonts w:ascii="Times New Roman" w:eastAsia="Times New Roman" w:hAnsi="Times New Roman" w:cs="Times New Roman"/>
          <w:sz w:val="26"/>
          <w:szCs w:val="26"/>
        </w:rPr>
        <w:t xml:space="preserve"> Л.Р.</w:t>
      </w:r>
      <w:r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BA4FCC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BA4FCC" w:rsidRDefault="002564D2" w:rsidP="005B3C6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4B9A" w:rsidRPr="00084B9A">
        <w:rPr>
          <w:rFonts w:ascii="Times New Roman" w:hAnsi="Times New Roman" w:cs="Times New Roman"/>
          <w:b/>
          <w:sz w:val="26"/>
          <w:szCs w:val="26"/>
        </w:rPr>
        <w:t>проектной документации, включая материалы оценки воздействия на окружающую среду, по объекту государственной экологической экспертизы</w:t>
      </w:r>
      <w:r w:rsidR="005B3C66" w:rsidRPr="00084B9A">
        <w:rPr>
          <w:rFonts w:ascii="Times New Roman" w:hAnsi="Times New Roman" w:cs="Times New Roman"/>
          <w:b/>
          <w:sz w:val="26"/>
          <w:szCs w:val="26"/>
        </w:rPr>
        <w:t>:</w:t>
      </w:r>
      <w:r w:rsidR="00D26D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3DE" w:rsidRPr="00BA4FCC">
        <w:rPr>
          <w:rFonts w:ascii="Times New Roman" w:hAnsi="Times New Roman" w:cs="Times New Roman"/>
          <w:b/>
          <w:sz w:val="26"/>
          <w:szCs w:val="26"/>
        </w:rPr>
        <w:t xml:space="preserve">«Комбинированная установка гидрокрекинга. Секция гидрокрекинга </w:t>
      </w:r>
    </w:p>
    <w:p w:rsidR="006C33DE" w:rsidRPr="00BA4FCC" w:rsidRDefault="006C33DE" w:rsidP="005B3C6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и сопутствующие объекты общезаводского хозяйства «Комплекса нефтеперерабатывающих и нефтехимических заводов» г. Нижнекамск»</w:t>
      </w:r>
    </w:p>
    <w:p w:rsidR="005B3C66" w:rsidRPr="00BA4FCC" w:rsidRDefault="005B3C66" w:rsidP="005B3C6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C66" w:rsidRPr="00BA4FCC" w:rsidRDefault="005B3C66" w:rsidP="005B3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>В работе общественных слушаний принимают участие приглашенные, которым были направлены уведомления с указанием места размещения материалов (члены комиссии по проведению общественных слушаний, представители общественных объединений и другие, жители города Нижнекамск и др.).</w:t>
      </w: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 начало общественных слушаний, т.е. 1</w:t>
      </w:r>
      <w:r w:rsidR="009F09F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.00 ч. </w:t>
      </w:r>
      <w:r w:rsidR="009F09F7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.0</w:t>
      </w:r>
      <w:r w:rsidR="009F09F7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F09F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, для участия в общественных слушаниях зарегистрировалось </w:t>
      </w:r>
      <w:r w:rsidR="00533D1C">
        <w:rPr>
          <w:rFonts w:ascii="Times New Roman" w:eastAsia="Times New Roman" w:hAnsi="Times New Roman" w:cs="Times New Roman"/>
          <w:sz w:val="26"/>
          <w:szCs w:val="26"/>
        </w:rPr>
        <w:t>10</w:t>
      </w:r>
      <w:r w:rsidR="009F09F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человек. Список участников прилагается (приложение 1).</w:t>
      </w: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6755"/>
      </w:tblGrid>
      <w:tr w:rsidR="005B3C66" w:rsidRPr="00BA4FCC" w:rsidTr="009F09F7">
        <w:tc>
          <w:tcPr>
            <w:tcW w:w="3158" w:type="dxa"/>
          </w:tcPr>
          <w:p w:rsidR="005B3C66" w:rsidRPr="00BA4FCC" w:rsidRDefault="009F09F7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Ахметов</w:t>
            </w:r>
            <w:r w:rsidR="005B3C66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5B3C66" w:rsidRPr="00BA4FCC" w:rsidRDefault="009F09F7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 Раилевич</w:t>
            </w:r>
          </w:p>
          <w:p w:rsidR="005B3C66" w:rsidRPr="00BA4FCC" w:rsidRDefault="005B3C66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5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муниципального района Республики Татарстан;</w:t>
            </w:r>
            <w:r w:rsidR="009F09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B3C66" w:rsidRPr="00BA4FCC" w:rsidTr="009F09F7">
        <w:trPr>
          <w:trHeight w:val="430"/>
        </w:trPr>
        <w:tc>
          <w:tcPr>
            <w:tcW w:w="3158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Зурбашев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6755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генерального директора </w:t>
            </w: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АО «ТАНЕКО»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 технической поддержке и качеству;</w:t>
            </w:r>
          </w:p>
        </w:tc>
      </w:tr>
      <w:tr w:rsidR="005B3C66" w:rsidRPr="00BA4FCC" w:rsidTr="009F09F7">
        <w:trPr>
          <w:trHeight w:val="539"/>
        </w:trPr>
        <w:tc>
          <w:tcPr>
            <w:tcW w:w="3158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Кутикова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Валентина Николаевна</w:t>
            </w:r>
          </w:p>
        </w:tc>
        <w:tc>
          <w:tcPr>
            <w:tcW w:w="6755" w:type="dxa"/>
          </w:tcPr>
          <w:p w:rsidR="005B3C66" w:rsidRPr="00BA4FCC" w:rsidRDefault="005B3C66" w:rsidP="005B3C66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главный инженер проекта ПАО «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ВНИПИнефть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»;</w:t>
            </w:r>
          </w:p>
        </w:tc>
      </w:tr>
      <w:tr w:rsidR="005B3C66" w:rsidRPr="00BA4FCC" w:rsidTr="009F09F7">
        <w:trPr>
          <w:trHeight w:val="539"/>
        </w:trPr>
        <w:tc>
          <w:tcPr>
            <w:tcW w:w="3158" w:type="dxa"/>
          </w:tcPr>
          <w:p w:rsidR="005B3C66" w:rsidRPr="00533D1C" w:rsidRDefault="00533D1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D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  <w:r w:rsidR="005B3C66" w:rsidRPr="00533D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B3C66" w:rsidRPr="00533D1C" w:rsidRDefault="00533D1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D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 Азалович</w:t>
            </w:r>
          </w:p>
        </w:tc>
        <w:tc>
          <w:tcPr>
            <w:tcW w:w="6755" w:type="dxa"/>
          </w:tcPr>
          <w:p w:rsidR="005B3C66" w:rsidRPr="00533D1C" w:rsidRDefault="00533D1C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533D1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председатель Общественного совета Нижнекамского муниципального района</w:t>
            </w:r>
          </w:p>
        </w:tc>
      </w:tr>
      <w:tr w:rsidR="005B3C66" w:rsidRPr="00BA4FCC" w:rsidTr="009F09F7">
        <w:trPr>
          <w:trHeight w:val="143"/>
        </w:trPr>
        <w:tc>
          <w:tcPr>
            <w:tcW w:w="3158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755" w:type="dxa"/>
          </w:tcPr>
          <w:p w:rsidR="005B3C66" w:rsidRPr="00BA4FCC" w:rsidRDefault="005B3C66" w:rsidP="00C91FBC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 Равеловна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       им. В.Д. Шашина.</w:t>
            </w:r>
          </w:p>
        </w:tc>
      </w:tr>
    </w:tbl>
    <w:p w:rsidR="005B3C66" w:rsidRPr="00BA4FCC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71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BA4FCC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BA4FCC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59284E" w:rsidRPr="00BA4FCC" w:rsidRDefault="0059284E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7073"/>
      </w:tblGrid>
      <w:tr w:rsidR="00442965" w:rsidRPr="00BA4FCC" w:rsidTr="000E4D67">
        <w:tc>
          <w:tcPr>
            <w:tcW w:w="2958" w:type="dxa"/>
          </w:tcPr>
          <w:p w:rsidR="00442965" w:rsidRPr="00BA4FCC" w:rsidRDefault="00756B00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Смирнова</w:t>
            </w:r>
          </w:p>
          <w:p w:rsidR="00B83FD9" w:rsidRPr="00BA4FCC" w:rsidRDefault="00756B00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7073" w:type="dxa"/>
          </w:tcPr>
          <w:p w:rsidR="00442965" w:rsidRPr="00BA4FCC" w:rsidRDefault="0059284E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BA4FCC" w:rsidTr="000E4D67">
        <w:tc>
          <w:tcPr>
            <w:tcW w:w="2958" w:type="dxa"/>
          </w:tcPr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Кырганова </w:t>
            </w:r>
          </w:p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7073" w:type="dxa"/>
          </w:tcPr>
          <w:p w:rsidR="00B83FD9" w:rsidRPr="00BA4FCC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BA4FCC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73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99C" w:rsidRPr="00BA4FCC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735A1" w:rsidRPr="00BA4FCC" w:rsidRDefault="00756B00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Ахметов Л.Р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года, проводятся общественные слушания по </w:t>
      </w:r>
      <w:r w:rsidR="00D26DC2" w:rsidRPr="00D26DC2">
        <w:rPr>
          <w:rFonts w:ascii="Times New Roman" w:eastAsia="Times New Roman" w:hAnsi="Times New Roman" w:cs="Times New Roman"/>
          <w:sz w:val="26"/>
          <w:szCs w:val="26"/>
        </w:rPr>
        <w:t>проектной документации</w:t>
      </w:r>
      <w:r w:rsidR="00D26DC2">
        <w:rPr>
          <w:rFonts w:ascii="Times New Roman" w:eastAsia="Times New Roman" w:hAnsi="Times New Roman" w:cs="Times New Roman"/>
          <w:sz w:val="26"/>
          <w:szCs w:val="26"/>
        </w:rPr>
        <w:t>, включая</w:t>
      </w:r>
      <w:r w:rsidR="00D26DC2" w:rsidRPr="00D26D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>материал</w:t>
      </w:r>
      <w:r w:rsidR="00D26DC2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 по объекту государственной экологической экспертизы: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735A1" w:rsidRPr="00BA4FCC" w:rsidRDefault="000735A1" w:rsidP="00084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Шашина с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 начали ведение общественных обсуждений </w:t>
      </w:r>
      <w:r w:rsidR="00084B9A" w:rsidRPr="00084B9A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материалы оценки воздействия на окружающую среду, по объекту государственной экологической экспертизы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</w:t>
      </w:r>
      <w:r w:rsidR="00084B9A" w:rsidRPr="00BA4FCC">
        <w:rPr>
          <w:rFonts w:ascii="Times New Roman" w:eastAsia="Times New Roman" w:hAnsi="Times New Roman" w:cs="Times New Roman"/>
          <w:sz w:val="26"/>
          <w:szCs w:val="26"/>
        </w:rPr>
        <w:t>заводов»</w:t>
      </w:r>
      <w:r w:rsidR="00084B9A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 xml:space="preserve"> Нижнекамск»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BA4FCC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BA4FCC" w:rsidRDefault="00F0124E" w:rsidP="00E9483D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«Нижнекамская правда» (№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21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(10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716) от 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4.0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); «Туган Як» (№ 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21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(42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75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4.0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); «Республика Татарстан» (№ 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79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9041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4.0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); «Российская газета» (№ 1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18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(8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469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01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:rsidR="008B2151" w:rsidRPr="00BA4FCC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сегодня 08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 могли</w:t>
      </w:r>
      <w:r w:rsidRPr="00BA4FCC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8B2151" w:rsidRPr="00BA4FCC" w:rsidRDefault="008B2151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слушаниях зарегистрировались 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>1</w:t>
      </w:r>
      <w:r w:rsidR="00533D1C"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 (приложение 1).</w:t>
      </w:r>
    </w:p>
    <w:p w:rsidR="008B2151" w:rsidRPr="00BA4FCC" w:rsidRDefault="008B2151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4E23" w:rsidRPr="00BA4FCC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BA4FCC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F24E23" w:rsidRPr="00BA4FCC" w:rsidRDefault="00F24E2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B5027" w:rsidRPr="00BA4FCC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BA4FCC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4B5027" w:rsidRPr="00BA4FCC" w:rsidRDefault="004B5027" w:rsidP="000E4D67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BA4FCC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</w:t>
      </w:r>
      <w:r w:rsidR="00E25340"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BA4FCC" w:rsidRDefault="004B5027" w:rsidP="000E4D67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BA4FCC" w:rsidRDefault="004B5027" w:rsidP="000E4D67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решений.</w:t>
      </w:r>
    </w:p>
    <w:p w:rsidR="00F0124E" w:rsidRPr="00BA4FCC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BA4FCC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0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июня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08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июля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им. Г. Тукая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BA4FCC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BA4FCC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BA4FCC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8B2151" w:rsidRDefault="00857E2B" w:rsidP="00533D1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За период, предоставленный для ознакомления с </w:t>
      </w:r>
      <w:r w:rsidR="00533D1C">
        <w:rPr>
          <w:rFonts w:ascii="Times New Roman" w:hAnsi="Times New Roman" w:cs="Times New Roman"/>
          <w:sz w:val="26"/>
          <w:szCs w:val="26"/>
        </w:rPr>
        <w:t xml:space="preserve">проектной документацией, включая </w:t>
      </w:r>
      <w:r w:rsidRPr="00BA4FCC">
        <w:rPr>
          <w:rFonts w:ascii="Times New Roman" w:hAnsi="Times New Roman" w:cs="Times New Roman"/>
          <w:sz w:val="26"/>
          <w:szCs w:val="26"/>
        </w:rPr>
        <w:t>материал</w:t>
      </w:r>
      <w:r w:rsidR="00533D1C">
        <w:rPr>
          <w:rFonts w:ascii="Times New Roman" w:hAnsi="Times New Roman" w:cs="Times New Roman"/>
          <w:sz w:val="26"/>
          <w:szCs w:val="26"/>
        </w:rPr>
        <w:t>ы</w:t>
      </w:r>
      <w:r w:rsidR="00567C87"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BA4FCC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BA4FCC">
        <w:rPr>
          <w:rFonts w:ascii="Times New Roman" w:hAnsi="Times New Roman" w:cs="Times New Roman"/>
          <w:sz w:val="26"/>
          <w:szCs w:val="26"/>
        </w:rPr>
        <w:t>Татнефть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» </w:t>
      </w:r>
      <w:r w:rsidR="00533D1C">
        <w:rPr>
          <w:rFonts w:ascii="Times New Roman" w:hAnsi="Times New Roman" w:cs="Times New Roman"/>
          <w:sz w:val="26"/>
          <w:szCs w:val="26"/>
        </w:rPr>
        <w:t xml:space="preserve">вопросы не </w:t>
      </w:r>
      <w:r w:rsidR="008B2151" w:rsidRPr="00BA4FCC">
        <w:rPr>
          <w:rFonts w:ascii="Times New Roman" w:hAnsi="Times New Roman" w:cs="Times New Roman"/>
          <w:sz w:val="26"/>
          <w:szCs w:val="26"/>
        </w:rPr>
        <w:t>поступ</w:t>
      </w:r>
      <w:r w:rsidR="00533D1C">
        <w:rPr>
          <w:rFonts w:ascii="Times New Roman" w:hAnsi="Times New Roman" w:cs="Times New Roman"/>
          <w:sz w:val="26"/>
          <w:szCs w:val="26"/>
        </w:rPr>
        <w:t xml:space="preserve">али. </w:t>
      </w:r>
    </w:p>
    <w:p w:rsidR="00854BFB" w:rsidRPr="00BA4FCC" w:rsidRDefault="00854BFB" w:rsidP="00533D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7CBF" w:rsidRPr="00BA4FCC" w:rsidRDefault="00387646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4843"/>
      </w:tblGrid>
      <w:tr w:rsidR="00923496" w:rsidRPr="00BA4FCC" w:rsidTr="009F615B">
        <w:tc>
          <w:tcPr>
            <w:tcW w:w="5211" w:type="dxa"/>
          </w:tcPr>
          <w:p w:rsidR="00EE28A1" w:rsidRPr="00BA4FCC" w:rsidRDefault="0070530D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4843" w:type="dxa"/>
          </w:tcPr>
          <w:p w:rsidR="007C55F4" w:rsidRPr="00BA4FCC" w:rsidRDefault="004164B8" w:rsidP="000D24C9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 Азат Рамилевич</w:t>
            </w:r>
            <w:r w:rsidR="00923496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530D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окружающей среды Управления промыш</w:t>
            </w:r>
            <w:r w:rsidR="002557D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 АО «ТАНЕКО»</w:t>
            </w:r>
          </w:p>
        </w:tc>
      </w:tr>
      <w:tr w:rsidR="007C55F4" w:rsidRPr="00BA4FCC" w:rsidTr="009F615B">
        <w:tc>
          <w:tcPr>
            <w:tcW w:w="5211" w:type="dxa"/>
          </w:tcPr>
          <w:p w:rsidR="007C55F4" w:rsidRPr="00BA4FCC" w:rsidRDefault="007C55F4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4164B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</w:t>
            </w:r>
            <w:r w:rsidR="000E4D67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  <w:r w:rsidR="004164B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г. Нижнекамск»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4843" w:type="dxa"/>
          </w:tcPr>
          <w:p w:rsidR="00E86F48" w:rsidRPr="00BA4FCC" w:rsidRDefault="004164B8" w:rsidP="000E4D67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Кутикова Валентина Николаевна</w:t>
            </w:r>
            <w:r w:rsidR="007C55F4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инженер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</w:t>
            </w:r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ВНИПИнефть</w:t>
            </w:r>
            <w:proofErr w:type="spellEnd"/>
            <w:r w:rsidR="00E86F4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7C55F4" w:rsidRPr="00BA4FCC" w:rsidRDefault="007C55F4" w:rsidP="000D24C9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4A8B" w:rsidRPr="00BA4FCC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A1FA2" w:rsidRPr="00BA4FCC" w:rsidRDefault="00BA1FA2" w:rsidP="000D24C9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Об основных 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BA4FCC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4D67" w:rsidRPr="00BA4FCC" w:rsidRDefault="00356607" w:rsidP="000E4D6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BA4FCC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«Комбинированная установка гидрокрекинга. Секция гидрокрекинга </w:t>
      </w:r>
    </w:p>
    <w:p w:rsidR="008B2151" w:rsidRPr="00BA4FCC" w:rsidRDefault="00356607" w:rsidP="000E4D6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BA4FCC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и сопутствующие объекты общезаводского хозяйства «Комплекса нефтеперерабатывающих и нефтехимических заводов» г. Нижнекамск»</w:t>
      </w:r>
    </w:p>
    <w:p w:rsidR="00356607" w:rsidRPr="00BA4FCC" w:rsidRDefault="0035660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442F" w:rsidRPr="00BA4FCC" w:rsidRDefault="00356607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Хамидуллин А.Р</w:t>
      </w:r>
      <w:r w:rsidR="001060FC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A1FA2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BA4FCC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 ключевой перерабатывающий актив Группы «Татнефть» продолжает расширять ассортимент и качество продукции.</w:t>
      </w:r>
    </w:p>
    <w:p w:rsidR="008B2151" w:rsidRPr="00BA4FCC" w:rsidRDefault="00F1442F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ефти превысит 80 миллионов тонн и увеличит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 xml:space="preserve"> тем самым налоговые отчисления в бюджет Республики.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Б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ыло сказано о начале производства</w:t>
      </w:r>
      <w:r w:rsidR="003C39A6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современного экологического судового топлива, соответствующего требованиям </w:t>
      </w:r>
      <w:proofErr w:type="spellStart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Marpol</w:t>
      </w:r>
      <w:proofErr w:type="spellEnd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50B40" w:rsidRDefault="003C39A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следуя принципам корпоративной социальной ответственности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Компанией Татнефть для содействия в борьбе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коронавирусной инфекцией</w:t>
      </w:r>
      <w:r w:rsidR="00B50B4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0B40" w:rsidRPr="00B50B40">
        <w:rPr>
          <w:rFonts w:ascii="Times New Roman" w:eastAsia="Times New Roman" w:hAnsi="Times New Roman" w:cs="Times New Roman"/>
          <w:sz w:val="26"/>
          <w:szCs w:val="26"/>
        </w:rPr>
        <w:t>Работникам АО «ТАНЕКО» проводится вакцинация от коронавирусной инфекции и на сегодняшний день уже достигнут один из лучших показателей по Группе Татнефть 76%.</w:t>
      </w:r>
    </w:p>
    <w:p w:rsidR="00B50B40" w:rsidRDefault="00F1442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D65F37" w:rsidRPr="00BA4FCC">
        <w:rPr>
          <w:rFonts w:ascii="Times New Roman" w:eastAsia="Times New Roman" w:hAnsi="Times New Roman" w:cs="Times New Roman"/>
          <w:sz w:val="26"/>
          <w:szCs w:val="26"/>
        </w:rPr>
        <w:t>т Р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амилевич</w:t>
      </w:r>
      <w:r w:rsidR="001445E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 xml:space="preserve">упомянул, </w:t>
      </w:r>
      <w:r w:rsidR="00B50B40" w:rsidRPr="00BA4FCC">
        <w:rPr>
          <w:rFonts w:ascii="Times New Roman" w:eastAsia="Times New Roman" w:hAnsi="Times New Roman" w:cs="Times New Roman"/>
          <w:sz w:val="26"/>
          <w:szCs w:val="26"/>
        </w:rPr>
        <w:t>что,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0B40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50B40" w:rsidRPr="00B50B40">
        <w:rPr>
          <w:rFonts w:ascii="Times New Roman" w:eastAsia="Times New Roman" w:hAnsi="Times New Roman" w:cs="Times New Roman"/>
          <w:sz w:val="26"/>
          <w:szCs w:val="26"/>
        </w:rPr>
        <w:t>ледуя принципам корпоративной социальной ответственности 1918 семей работников Компании улучшили свои жилищные условия начиная с 2006 года. Из них 186 семей в 2021 году.</w:t>
      </w:r>
      <w:r w:rsidR="00B50B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0B40" w:rsidRPr="00B50B40">
        <w:rPr>
          <w:rFonts w:ascii="Times New Roman" w:eastAsia="Times New Roman" w:hAnsi="Times New Roman" w:cs="Times New Roman"/>
          <w:sz w:val="26"/>
          <w:szCs w:val="26"/>
        </w:rPr>
        <w:t>На строительство жилья уже направлено более 3 млрд. рублей финансовых средств компании Татнефть.</w:t>
      </w:r>
    </w:p>
    <w:p w:rsidR="00B50B40" w:rsidRDefault="0057351F" w:rsidP="008A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 затронул экологич</w:t>
      </w:r>
      <w:r w:rsidR="00B50B40">
        <w:rPr>
          <w:rFonts w:ascii="Times New Roman" w:eastAsia="Times New Roman" w:hAnsi="Times New Roman" w:cs="Times New Roman"/>
          <w:sz w:val="26"/>
          <w:szCs w:val="26"/>
        </w:rPr>
        <w:t>еские аспекты политики Татнефть и доложил, что  п</w:t>
      </w:r>
      <w:r w:rsidR="00B50B40" w:rsidRPr="00B50B40">
        <w:rPr>
          <w:rFonts w:ascii="Times New Roman" w:eastAsia="Times New Roman" w:hAnsi="Times New Roman" w:cs="Times New Roman"/>
          <w:sz w:val="26"/>
          <w:szCs w:val="26"/>
        </w:rPr>
        <w:t>о результатам участия в конкурсе «Эковесна-2021» ТАНЕКО стало победителем в номинации «Лучшее предприятие» как на республиканском, так и на муниципальном этапе конкурса. Основной целью конкурса является повышение экологической культуры граждан и вовлечение жителей Республики Татарстан в природоохранную деятельность.</w:t>
      </w:r>
    </w:p>
    <w:p w:rsidR="00896481" w:rsidRPr="00BA4FCC" w:rsidRDefault="006907C9" w:rsidP="008A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Затем докладчик перешел к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BA4FCC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Установка гидрокрекинга спроектирована по современной, надежной технологии компании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Chevron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Lummus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Global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. Это 2-я установка гидрокрекинга на Комплексе, имеются необходимые компетенции и опыт безопасной эксплуатации.</w:t>
      </w:r>
    </w:p>
    <w:p w:rsidR="00496119" w:rsidRPr="00BA4FCC" w:rsidRDefault="00496119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BA4FCC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54BF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BA4FCC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0727" w:rsidRPr="00BA4FCC" w:rsidRDefault="00870990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Кутикова В.Н</w:t>
      </w:r>
      <w:r w:rsidR="000D24C9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сделал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в котором озвучил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</w:t>
      </w:r>
      <w:r w:rsidR="0002289F">
        <w:rPr>
          <w:rFonts w:ascii="Times New Roman" w:eastAsia="Times New Roman" w:hAnsi="Times New Roman" w:cs="Times New Roman"/>
          <w:sz w:val="26"/>
          <w:szCs w:val="26"/>
        </w:rPr>
        <w:t>заводов»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г. Нижнекамск»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157" w:rsidRPr="00BA4FCC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роинформировал о технологии производства данной установки, о технических решениях по обеспечению безопасной эксплуатации.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0E3644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соответствует требованиям наилучших допустимых технологий согласно ст.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54BF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BA4FCC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7646" w:rsidRPr="00BA4FCC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F300ED" w:rsidRPr="00BA4FCC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</w:p>
    <w:p w:rsidR="00F300ED" w:rsidRPr="00BA4FCC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  <w:r w:rsidR="009E501D">
        <w:rPr>
          <w:rFonts w:ascii="Times New Roman" w:eastAsia="Times New Roman" w:hAnsi="Times New Roman" w:cs="Times New Roman"/>
          <w:sz w:val="26"/>
          <w:szCs w:val="26"/>
        </w:rPr>
        <w:t>Напоминаю, что интересы компании</w:t>
      </w:r>
      <w:r w:rsidR="0002769D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Зурбашев Алексей Владимирович, заместитель </w:t>
      </w:r>
      <w:r w:rsidR="0002769D" w:rsidRPr="0002769D">
        <w:rPr>
          <w:rFonts w:ascii="Times New Roman" w:eastAsia="Times New Roman" w:hAnsi="Times New Roman" w:cs="Times New Roman"/>
          <w:sz w:val="26"/>
          <w:szCs w:val="26"/>
        </w:rPr>
        <w:t>генерального директора АО «ТАНЕКО» по технической поддержке и качеству;</w:t>
      </w:r>
      <w:r w:rsidR="00027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300ED" w:rsidRPr="00BA4FCC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Уважаемые участники: есть вопросы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Может есть вопросы в чате?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Вопросов нет.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Хорошо. С вашего позволения я хотел бы задать вопрос. Докладчик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озвучил образование определенного объема отходов и было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сказано, что заключены или возможно будут заключены </w:t>
      </w:r>
      <w:r w:rsidR="009E501D">
        <w:rPr>
          <w:rFonts w:ascii="Times New Roman" w:eastAsia="Times New Roman" w:hAnsi="Times New Roman" w:cs="Times New Roman"/>
          <w:sz w:val="26"/>
          <w:szCs w:val="26"/>
        </w:rPr>
        <w:t>договора на обращени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 xml:space="preserve">е с этими </w:t>
      </w:r>
      <w:r w:rsidR="009E501D">
        <w:rPr>
          <w:rFonts w:ascii="Times New Roman" w:eastAsia="Times New Roman" w:hAnsi="Times New Roman" w:cs="Times New Roman"/>
          <w:sz w:val="26"/>
          <w:szCs w:val="26"/>
        </w:rPr>
        <w:t>отход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9E501D">
        <w:rPr>
          <w:rFonts w:ascii="Times New Roman" w:eastAsia="Times New Roman" w:hAnsi="Times New Roman" w:cs="Times New Roman"/>
          <w:sz w:val="26"/>
          <w:szCs w:val="26"/>
        </w:rPr>
        <w:t xml:space="preserve">. Куда эти отходы будут вывозиться? Пожалуйста поясните поподробнее. </w:t>
      </w:r>
      <w:r w:rsidR="0002769D">
        <w:rPr>
          <w:rFonts w:ascii="Times New Roman" w:eastAsia="Times New Roman" w:hAnsi="Times New Roman" w:cs="Times New Roman"/>
          <w:sz w:val="26"/>
          <w:szCs w:val="26"/>
        </w:rPr>
        <w:t>Алексей Владимирович, кто ответит на вопрос?</w:t>
      </w:r>
    </w:p>
    <w:p w:rsidR="00201C46" w:rsidRDefault="00201C46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769D" w:rsidRDefault="0002769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2769D">
        <w:rPr>
          <w:rFonts w:ascii="Times New Roman" w:eastAsia="Times New Roman" w:hAnsi="Times New Roman" w:cs="Times New Roman"/>
          <w:b/>
          <w:sz w:val="26"/>
          <w:szCs w:val="26"/>
        </w:rPr>
        <w:t>Зурбашев</w:t>
      </w:r>
      <w:proofErr w:type="spellEnd"/>
      <w:r w:rsidRPr="0002769D">
        <w:rPr>
          <w:rFonts w:ascii="Times New Roman" w:eastAsia="Times New Roman" w:hAnsi="Times New Roman" w:cs="Times New Roman"/>
          <w:b/>
          <w:sz w:val="26"/>
          <w:szCs w:val="26"/>
        </w:rPr>
        <w:t xml:space="preserve"> А.В.: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вопрос ответит Хамидуллин Азат Рамилевич. </w:t>
      </w:r>
    </w:p>
    <w:p w:rsidR="00201C46" w:rsidRDefault="00201C4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4539" w:rsidRDefault="0002769D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9552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Хамидуллин</w:t>
      </w:r>
      <w:proofErr w:type="spellEnd"/>
      <w:r w:rsidRPr="00F95523">
        <w:rPr>
          <w:rFonts w:ascii="Times New Roman" w:eastAsia="Times New Roman" w:hAnsi="Times New Roman" w:cs="Times New Roman"/>
          <w:b/>
          <w:sz w:val="26"/>
          <w:szCs w:val="26"/>
        </w:rPr>
        <w:t xml:space="preserve"> А.Р.: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результатам тендера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настоящее время 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 xml:space="preserve">АО «ТАНЕКО»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 договор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 с компанией «Аврора» на утилизацию отработанного катализатора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.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Т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>акже отдельно заключены договор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ы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 на утилизацию полимерных отходов, на образующиеся </w:t>
      </w:r>
      <w:proofErr w:type="spellStart"/>
      <w:r w:rsidR="00F95523">
        <w:rPr>
          <w:rFonts w:ascii="Times New Roman" w:eastAsia="Times New Roman" w:hAnsi="Times New Roman" w:cs="Times New Roman"/>
          <w:sz w:val="26"/>
          <w:szCs w:val="26"/>
        </w:rPr>
        <w:t>нефтешламовые</w:t>
      </w:r>
      <w:proofErr w:type="spellEnd"/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 отходы. Единственное, что не утилизиру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>тся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 xml:space="preserve">, - 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это твердо-коммунальные отходы. Они </w:t>
      </w:r>
      <w:proofErr w:type="spellStart"/>
      <w:r w:rsidR="00F95523">
        <w:rPr>
          <w:rFonts w:ascii="Times New Roman" w:eastAsia="Times New Roman" w:hAnsi="Times New Roman" w:cs="Times New Roman"/>
          <w:sz w:val="26"/>
          <w:szCs w:val="26"/>
        </w:rPr>
        <w:t>захораниваются</w:t>
      </w:r>
      <w:proofErr w:type="spellEnd"/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 на полигоне Нижнекамского района. Также имеется свой собственный полигон Комплекса, но 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 xml:space="preserve">здесь размещается 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>не больше 100 тонн в год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 xml:space="preserve"> (при общей массе образуемых отходов – 3,0 тыс. </w:t>
      </w:r>
      <w:proofErr w:type="spellStart"/>
      <w:r w:rsidR="00201C46">
        <w:rPr>
          <w:rFonts w:ascii="Times New Roman" w:eastAsia="Times New Roman" w:hAnsi="Times New Roman" w:cs="Times New Roman"/>
          <w:sz w:val="26"/>
          <w:szCs w:val="26"/>
        </w:rPr>
        <w:t>тн</w:t>
      </w:r>
      <w:proofErr w:type="spellEnd"/>
      <w:r w:rsidR="00201C46">
        <w:rPr>
          <w:rFonts w:ascii="Times New Roman" w:eastAsia="Times New Roman" w:hAnsi="Times New Roman" w:cs="Times New Roman"/>
          <w:sz w:val="26"/>
          <w:szCs w:val="26"/>
        </w:rPr>
        <w:t>)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95523" w:rsidRPr="00BA4FCC" w:rsidRDefault="00F9552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Default="0002289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242117" w:rsidRPr="00BA4FCC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24211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Спасибо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Азат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289F">
        <w:rPr>
          <w:rFonts w:ascii="Times New Roman" w:eastAsia="Times New Roman" w:hAnsi="Times New Roman" w:cs="Times New Roman"/>
          <w:sz w:val="26"/>
          <w:szCs w:val="26"/>
        </w:rPr>
        <w:t>Рамилевич</w:t>
      </w:r>
      <w:proofErr w:type="spellEnd"/>
      <w:r w:rsidR="00201C4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ответ.</w:t>
      </w:r>
      <w:r w:rsidR="000E3644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слушаний, есть ли у вас вопросы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?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 Александр?</w:t>
      </w:r>
    </w:p>
    <w:p w:rsidR="00F95523" w:rsidRDefault="00F9552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5523" w:rsidRDefault="00F9552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523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Вопросов в чате нет и руку на данный момент никто не поднимает. </w:t>
      </w:r>
    </w:p>
    <w:p w:rsidR="00F95523" w:rsidRPr="00BA4FCC" w:rsidRDefault="00F9552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F95523" w:rsidP="00F30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5523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Так как у участников общественных слушаний вопросов по повестке нет, предлагаю подвести итоги. </w:t>
      </w:r>
    </w:p>
    <w:p w:rsidR="001A2CDB" w:rsidRPr="00BA4FCC" w:rsidRDefault="001A2CDB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2CDB" w:rsidRPr="00BA4FCC" w:rsidRDefault="001A2CDB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доведена до сведения населения. </w:t>
      </w:r>
      <w:r w:rsidRPr="00BA4FCC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084B9A" w:rsidRDefault="00CD08A1" w:rsidP="000926E0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84B9A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084B9A" w:rsidRPr="00084B9A">
        <w:rPr>
          <w:rFonts w:ascii="Times New Roman" w:hAnsi="Times New Roman" w:cs="Times New Roman"/>
          <w:sz w:val="26"/>
          <w:szCs w:val="26"/>
        </w:rPr>
        <w:t xml:space="preserve">проектной документации, включая материалы оценки воздействия на окружающую среду, по объекту государственной экологической экспертизы </w:t>
      </w:r>
      <w:r w:rsidR="002864B5" w:rsidRPr="00084B9A">
        <w:rPr>
          <w:rFonts w:ascii="Times New Roman" w:hAnsi="Times New Roman" w:cs="Times New Roman"/>
          <w:sz w:val="26"/>
          <w:szCs w:val="26"/>
        </w:rPr>
        <w:t>материалов</w:t>
      </w:r>
      <w:r w:rsidRPr="00084B9A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084B9A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084B9A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084B9A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A2620C" w:rsidRPr="00084B9A">
        <w:rPr>
          <w:rFonts w:ascii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 признать</w:t>
      </w:r>
      <w:r w:rsidRPr="00084B9A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F300ED" w:rsidRPr="00BA4FCC" w:rsidRDefault="00F300ED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BA4FCC" w:rsidRDefault="00C77196" w:rsidP="00BA4F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Ахметов Л.Р</w:t>
      </w:r>
      <w:r w:rsidR="002864B5" w:rsidRPr="00BA4FCC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BA4FCC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77196">
        <w:rPr>
          <w:rFonts w:ascii="Times New Roman" w:hAnsi="Times New Roman" w:cs="Times New Roman"/>
          <w:sz w:val="26"/>
          <w:szCs w:val="26"/>
        </w:rPr>
        <w:t>8</w:t>
      </w:r>
      <w:r w:rsidR="00A2620C" w:rsidRPr="00BA4FCC">
        <w:rPr>
          <w:rFonts w:ascii="Times New Roman" w:hAnsi="Times New Roman" w:cs="Times New Roman"/>
          <w:sz w:val="26"/>
          <w:szCs w:val="26"/>
        </w:rPr>
        <w:t>6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C77196">
        <w:rPr>
          <w:rFonts w:ascii="Times New Roman" w:hAnsi="Times New Roman" w:cs="Times New Roman"/>
          <w:sz w:val="26"/>
          <w:szCs w:val="26"/>
        </w:rPr>
        <w:t>1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A2620C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C77196">
        <w:rPr>
          <w:rFonts w:ascii="Times New Roman" w:hAnsi="Times New Roman" w:cs="Times New Roman"/>
          <w:sz w:val="26"/>
          <w:szCs w:val="26"/>
        </w:rPr>
        <w:t>5</w:t>
      </w:r>
      <w:r w:rsidR="002864B5" w:rsidRPr="00BA4FCC">
        <w:rPr>
          <w:rFonts w:ascii="Times New Roman" w:hAnsi="Times New Roman" w:cs="Times New Roman"/>
          <w:sz w:val="26"/>
          <w:szCs w:val="26"/>
        </w:rPr>
        <w:t>.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BA4FCC" w:rsidRDefault="00CD08A1" w:rsidP="00B86EC8">
      <w:pPr>
        <w:pStyle w:val="aa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BA4FCC">
        <w:rPr>
          <w:rFonts w:ascii="Times New Roman" w:hAnsi="Times New Roman" w:cs="Times New Roman"/>
          <w:sz w:val="26"/>
          <w:szCs w:val="26"/>
        </w:rPr>
        <w:t>е</w:t>
      </w:r>
      <w:r w:rsidR="00C27474" w:rsidRPr="00BA4FCC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A2620C" w:rsidRPr="00BA4FCC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«Комбинированная установка гидрокрекинга. Секция гидрокрекинга и сопутствующие объекты общезаводского хозяйства «Комплекса </w:t>
      </w:r>
      <w:r w:rsidR="00A2620C" w:rsidRPr="00BA4FCC">
        <w:rPr>
          <w:rFonts w:ascii="Times New Roman" w:eastAsia="Arial Unicode MS" w:hAnsi="Times New Roman" w:cs="Times New Roman"/>
          <w:color w:val="000000"/>
          <w:sz w:val="26"/>
          <w:szCs w:val="26"/>
        </w:rPr>
        <w:lastRenderedPageBreak/>
        <w:t xml:space="preserve">нефтеперерабатывающих и нефтехимических заводов» г. Нижнекамск» </w:t>
      </w:r>
      <w:r w:rsidR="00DB7EC9" w:rsidRPr="00BA4FCC">
        <w:rPr>
          <w:rFonts w:ascii="Times New Roman" w:hAnsi="Times New Roman" w:cs="Times New Roman"/>
          <w:sz w:val="26"/>
          <w:szCs w:val="26"/>
        </w:rPr>
        <w:t>одобрены</w:t>
      </w:r>
      <w:r w:rsidRPr="00BA4FCC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BA4FCC" w:rsidRDefault="00C77196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08A1" w:rsidRPr="00BA4FC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77196">
        <w:rPr>
          <w:rFonts w:ascii="Times New Roman" w:hAnsi="Times New Roman" w:cs="Times New Roman"/>
          <w:sz w:val="26"/>
          <w:szCs w:val="26"/>
        </w:rPr>
        <w:t>84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C77196">
        <w:rPr>
          <w:rFonts w:ascii="Times New Roman" w:hAnsi="Times New Roman" w:cs="Times New Roman"/>
          <w:sz w:val="26"/>
          <w:szCs w:val="26"/>
        </w:rPr>
        <w:t>2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C77196">
        <w:rPr>
          <w:rFonts w:ascii="Times New Roman" w:hAnsi="Times New Roman" w:cs="Times New Roman"/>
          <w:sz w:val="26"/>
          <w:szCs w:val="26"/>
        </w:rPr>
        <w:t>8</w:t>
      </w:r>
      <w:r w:rsidRPr="00BA4FCC">
        <w:rPr>
          <w:rFonts w:ascii="Times New Roman" w:hAnsi="Times New Roman" w:cs="Times New Roman"/>
          <w:sz w:val="26"/>
          <w:szCs w:val="26"/>
        </w:rPr>
        <w:t>.</w:t>
      </w:r>
    </w:p>
    <w:p w:rsidR="00717500" w:rsidRPr="00BA4FCC" w:rsidRDefault="00717500" w:rsidP="000D2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C7719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Граждане и общественные организации вправе в течение 30 дней после окончания общественных слушаний направить письменные замечания и предложения </w:t>
      </w:r>
      <w:r w:rsidR="00C27474"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BA4FCC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BA4FCC">
        <w:rPr>
          <w:rFonts w:ascii="Times New Roman" w:hAnsi="Times New Roman" w:cs="Times New Roman"/>
          <w:sz w:val="26"/>
          <w:szCs w:val="26"/>
        </w:rPr>
        <w:t>ам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BA4FCC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BA4FCC">
        <w:rPr>
          <w:rFonts w:ascii="Times New Roman" w:hAnsi="Times New Roman" w:cs="Times New Roman"/>
          <w:sz w:val="26"/>
          <w:szCs w:val="26"/>
        </w:rPr>
        <w:t>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A2620C" w:rsidRPr="00BA4FCC">
        <w:rPr>
          <w:rFonts w:ascii="Times New Roman" w:hAnsi="Times New Roman" w:cs="Times New Roman"/>
          <w:sz w:val="26"/>
          <w:szCs w:val="26"/>
        </w:rPr>
        <w:t>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</w:t>
      </w:r>
      <w:r w:rsidR="00C77196">
        <w:rPr>
          <w:rFonts w:ascii="Times New Roman" w:hAnsi="Times New Roman" w:cs="Times New Roman"/>
          <w:sz w:val="26"/>
          <w:szCs w:val="26"/>
        </w:rPr>
        <w:t xml:space="preserve"> </w:t>
      </w:r>
      <w:r w:rsidR="00A2620C" w:rsidRPr="00BA4FCC">
        <w:rPr>
          <w:rFonts w:ascii="Times New Roman" w:hAnsi="Times New Roman" w:cs="Times New Roman"/>
          <w:sz w:val="26"/>
          <w:szCs w:val="26"/>
        </w:rPr>
        <w:t>г. Нижнекамск</w:t>
      </w:r>
      <w:r w:rsidR="00C77196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BA4FCC">
        <w:rPr>
          <w:rFonts w:ascii="Times New Roman" w:hAnsi="Times New Roman" w:cs="Times New Roman"/>
          <w:sz w:val="26"/>
          <w:szCs w:val="26"/>
        </w:rPr>
        <w:t>Республика Татарстан, г. Альметьевск, ул. Ленина, 75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15E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BA4FCC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E32603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32603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BA4FCC">
        <w:rPr>
          <w:rFonts w:ascii="Times New Roman" w:hAnsi="Times New Roman" w:cs="Times New Roman"/>
          <w:sz w:val="26"/>
          <w:szCs w:val="26"/>
        </w:rPr>
        <w:t>).</w:t>
      </w:r>
    </w:p>
    <w:p w:rsidR="009C16C3" w:rsidRPr="00BA4FCC" w:rsidRDefault="009C16C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BA4FCC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169"/>
      </w:tblGrid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общественных слушаний, </w:t>
            </w:r>
            <w:r w:rsidR="00C7719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заместитель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</w:t>
            </w:r>
            <w:r w:rsidR="00C77196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C77196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Л.Р. Ахметов</w:t>
            </w:r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 Шашина:</w:t>
            </w:r>
            <w:r w:rsidR="00C771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C7719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Представитель общественной организации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BA4FCC" w:rsidRPr="00BA4FCC" w:rsidRDefault="00BA4FCC" w:rsidP="00BA4FCC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370"/>
        <w:gridCol w:w="2101"/>
        <w:gridCol w:w="2166"/>
      </w:tblGrid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</w:tcPr>
          <w:p w:rsidR="00BA4FCC" w:rsidRPr="00BA4FCC" w:rsidRDefault="00C77196" w:rsidP="00C91FB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Е.А. Смирнова</w:t>
            </w:r>
          </w:p>
          <w:p w:rsidR="00BA4FCC" w:rsidRPr="00BA4FCC" w:rsidRDefault="00BA4FCC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С.Е. Кырганова </w:t>
            </w: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BA4FCC" w:rsidRPr="00BA4FCC" w:rsidRDefault="00BA4FCC" w:rsidP="00BA4FCC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4124BC" w:rsidRDefault="004124BC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124BC" w:rsidSect="00D1409E">
      <w:headerReference w:type="default" r:id="rId15"/>
      <w:footerReference w:type="default" r:id="rId16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83" w:rsidRDefault="00F21A83" w:rsidP="00F21A15">
      <w:pPr>
        <w:spacing w:after="0" w:line="240" w:lineRule="auto"/>
      </w:pPr>
      <w:r>
        <w:separator/>
      </w:r>
    </w:p>
  </w:endnote>
  <w:endnote w:type="continuationSeparator" w:id="0">
    <w:p w:rsidR="00F21A83" w:rsidRDefault="00F21A83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575D53">
          <w:rPr>
            <w:rFonts w:ascii="Times New Roman" w:hAnsi="Times New Roman" w:cs="Times New Roman"/>
            <w:noProof/>
          </w:rPr>
          <w:t>2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83" w:rsidRDefault="00F21A83" w:rsidP="00F21A15">
      <w:pPr>
        <w:spacing w:after="0" w:line="240" w:lineRule="auto"/>
      </w:pPr>
      <w:r>
        <w:separator/>
      </w:r>
    </w:p>
  </w:footnote>
  <w:footnote w:type="continuationSeparator" w:id="0">
    <w:p w:rsidR="00F21A83" w:rsidRDefault="00F21A83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10BD6"/>
    <w:rsid w:val="00011392"/>
    <w:rsid w:val="00012DD3"/>
    <w:rsid w:val="00014A89"/>
    <w:rsid w:val="0002189A"/>
    <w:rsid w:val="0002289F"/>
    <w:rsid w:val="00023E21"/>
    <w:rsid w:val="0002769D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533E4"/>
    <w:rsid w:val="0005580F"/>
    <w:rsid w:val="0006647E"/>
    <w:rsid w:val="00072EAF"/>
    <w:rsid w:val="000735A1"/>
    <w:rsid w:val="0007510C"/>
    <w:rsid w:val="000817F3"/>
    <w:rsid w:val="00084B9A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F2AC5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477FE"/>
    <w:rsid w:val="0015260F"/>
    <w:rsid w:val="00161B78"/>
    <w:rsid w:val="00162CE2"/>
    <w:rsid w:val="00165226"/>
    <w:rsid w:val="001728A5"/>
    <w:rsid w:val="00175B0D"/>
    <w:rsid w:val="00180955"/>
    <w:rsid w:val="00190B42"/>
    <w:rsid w:val="001934FB"/>
    <w:rsid w:val="00197911"/>
    <w:rsid w:val="001A2CDB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1C46"/>
    <w:rsid w:val="002031BC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5972"/>
    <w:rsid w:val="002C6919"/>
    <w:rsid w:val="002D6CF0"/>
    <w:rsid w:val="002E1D58"/>
    <w:rsid w:val="002E1FB0"/>
    <w:rsid w:val="002E4705"/>
    <w:rsid w:val="002E5C45"/>
    <w:rsid w:val="002E702F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3628"/>
    <w:rsid w:val="003A10ED"/>
    <w:rsid w:val="003B1B56"/>
    <w:rsid w:val="003B2658"/>
    <w:rsid w:val="003C39A6"/>
    <w:rsid w:val="003C7A30"/>
    <w:rsid w:val="003D0C4B"/>
    <w:rsid w:val="003D1385"/>
    <w:rsid w:val="003D218B"/>
    <w:rsid w:val="003D78AB"/>
    <w:rsid w:val="003D7D17"/>
    <w:rsid w:val="003E7B32"/>
    <w:rsid w:val="003F39D9"/>
    <w:rsid w:val="0041102F"/>
    <w:rsid w:val="00411B83"/>
    <w:rsid w:val="004124BC"/>
    <w:rsid w:val="00412E8A"/>
    <w:rsid w:val="00415D3C"/>
    <w:rsid w:val="004164B8"/>
    <w:rsid w:val="004254F0"/>
    <w:rsid w:val="00441095"/>
    <w:rsid w:val="00441924"/>
    <w:rsid w:val="00442965"/>
    <w:rsid w:val="0044669F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53C"/>
    <w:rsid w:val="00475FE6"/>
    <w:rsid w:val="00476122"/>
    <w:rsid w:val="004825B8"/>
    <w:rsid w:val="00490C84"/>
    <w:rsid w:val="00490FFB"/>
    <w:rsid w:val="00493996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0A6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33D1C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75D53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C05A4"/>
    <w:rsid w:val="005C51E5"/>
    <w:rsid w:val="005D39D2"/>
    <w:rsid w:val="005D707D"/>
    <w:rsid w:val="005F056D"/>
    <w:rsid w:val="005F0DAD"/>
    <w:rsid w:val="005F44F2"/>
    <w:rsid w:val="00605796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5043A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4C47"/>
    <w:rsid w:val="00675A99"/>
    <w:rsid w:val="00676AB3"/>
    <w:rsid w:val="006800BF"/>
    <w:rsid w:val="00680F21"/>
    <w:rsid w:val="00682B17"/>
    <w:rsid w:val="00682BAC"/>
    <w:rsid w:val="00690124"/>
    <w:rsid w:val="006907C9"/>
    <w:rsid w:val="006936CA"/>
    <w:rsid w:val="00693A8C"/>
    <w:rsid w:val="006A5B71"/>
    <w:rsid w:val="006B5E0B"/>
    <w:rsid w:val="006B72B5"/>
    <w:rsid w:val="006C33DE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28E3"/>
    <w:rsid w:val="00756B00"/>
    <w:rsid w:val="00760370"/>
    <w:rsid w:val="0076632B"/>
    <w:rsid w:val="00772632"/>
    <w:rsid w:val="00774F39"/>
    <w:rsid w:val="00792E22"/>
    <w:rsid w:val="007A1278"/>
    <w:rsid w:val="007B3537"/>
    <w:rsid w:val="007C09F5"/>
    <w:rsid w:val="007C206F"/>
    <w:rsid w:val="007C2388"/>
    <w:rsid w:val="007C3626"/>
    <w:rsid w:val="007C55F4"/>
    <w:rsid w:val="007E0757"/>
    <w:rsid w:val="007E0B21"/>
    <w:rsid w:val="007E42F6"/>
    <w:rsid w:val="007E5CC6"/>
    <w:rsid w:val="007F0D9B"/>
    <w:rsid w:val="007F315D"/>
    <w:rsid w:val="00801B30"/>
    <w:rsid w:val="008144E2"/>
    <w:rsid w:val="00816124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4BFB"/>
    <w:rsid w:val="008550D1"/>
    <w:rsid w:val="00855C79"/>
    <w:rsid w:val="00856D17"/>
    <w:rsid w:val="00857E2B"/>
    <w:rsid w:val="00863F76"/>
    <w:rsid w:val="00870990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A44A1"/>
    <w:rsid w:val="008A601D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335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5182A"/>
    <w:rsid w:val="00952CC4"/>
    <w:rsid w:val="00954BE2"/>
    <w:rsid w:val="009578A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2F13"/>
    <w:rsid w:val="009A6E86"/>
    <w:rsid w:val="009C16C3"/>
    <w:rsid w:val="009C79A6"/>
    <w:rsid w:val="009D0FC6"/>
    <w:rsid w:val="009D42BC"/>
    <w:rsid w:val="009E479A"/>
    <w:rsid w:val="009E501D"/>
    <w:rsid w:val="009F09F7"/>
    <w:rsid w:val="009F4867"/>
    <w:rsid w:val="009F615B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2620C"/>
    <w:rsid w:val="00A403B9"/>
    <w:rsid w:val="00A40E22"/>
    <w:rsid w:val="00A42E59"/>
    <w:rsid w:val="00A43CE1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1C13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487E"/>
    <w:rsid w:val="00B271F0"/>
    <w:rsid w:val="00B3054E"/>
    <w:rsid w:val="00B30621"/>
    <w:rsid w:val="00B3122B"/>
    <w:rsid w:val="00B32144"/>
    <w:rsid w:val="00B3404C"/>
    <w:rsid w:val="00B3608A"/>
    <w:rsid w:val="00B43E03"/>
    <w:rsid w:val="00B50B40"/>
    <w:rsid w:val="00B52B3F"/>
    <w:rsid w:val="00B53A0F"/>
    <w:rsid w:val="00B53CD0"/>
    <w:rsid w:val="00B54BCC"/>
    <w:rsid w:val="00B56F1F"/>
    <w:rsid w:val="00B577CF"/>
    <w:rsid w:val="00B61417"/>
    <w:rsid w:val="00B62468"/>
    <w:rsid w:val="00B629D4"/>
    <w:rsid w:val="00B644A5"/>
    <w:rsid w:val="00B66689"/>
    <w:rsid w:val="00B6699C"/>
    <w:rsid w:val="00B7523A"/>
    <w:rsid w:val="00B8029F"/>
    <w:rsid w:val="00B81F58"/>
    <w:rsid w:val="00B82BD8"/>
    <w:rsid w:val="00B83FD9"/>
    <w:rsid w:val="00B872CA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80C"/>
    <w:rsid w:val="00BD4155"/>
    <w:rsid w:val="00BE6D43"/>
    <w:rsid w:val="00C01BD6"/>
    <w:rsid w:val="00C10DB6"/>
    <w:rsid w:val="00C11107"/>
    <w:rsid w:val="00C14539"/>
    <w:rsid w:val="00C14DEC"/>
    <w:rsid w:val="00C22F6E"/>
    <w:rsid w:val="00C24804"/>
    <w:rsid w:val="00C25E14"/>
    <w:rsid w:val="00C27474"/>
    <w:rsid w:val="00C30351"/>
    <w:rsid w:val="00C31140"/>
    <w:rsid w:val="00C404C3"/>
    <w:rsid w:val="00C453A9"/>
    <w:rsid w:val="00C4597C"/>
    <w:rsid w:val="00C47D9B"/>
    <w:rsid w:val="00C6021F"/>
    <w:rsid w:val="00C64873"/>
    <w:rsid w:val="00C6615E"/>
    <w:rsid w:val="00C66264"/>
    <w:rsid w:val="00C70944"/>
    <w:rsid w:val="00C70DE2"/>
    <w:rsid w:val="00C7104A"/>
    <w:rsid w:val="00C71D3F"/>
    <w:rsid w:val="00C732FF"/>
    <w:rsid w:val="00C77196"/>
    <w:rsid w:val="00C834EC"/>
    <w:rsid w:val="00C84EEC"/>
    <w:rsid w:val="00C86FC3"/>
    <w:rsid w:val="00C904A7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68A9"/>
    <w:rsid w:val="00D26DC2"/>
    <w:rsid w:val="00D350F3"/>
    <w:rsid w:val="00D35BEA"/>
    <w:rsid w:val="00D360AC"/>
    <w:rsid w:val="00D37260"/>
    <w:rsid w:val="00D45361"/>
    <w:rsid w:val="00D50118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B7EC9"/>
    <w:rsid w:val="00DC26BE"/>
    <w:rsid w:val="00DC2ADE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10B1E"/>
    <w:rsid w:val="00E11DC2"/>
    <w:rsid w:val="00E11F2A"/>
    <w:rsid w:val="00E25340"/>
    <w:rsid w:val="00E30099"/>
    <w:rsid w:val="00E32603"/>
    <w:rsid w:val="00E34157"/>
    <w:rsid w:val="00E3780E"/>
    <w:rsid w:val="00E465E7"/>
    <w:rsid w:val="00E52C6F"/>
    <w:rsid w:val="00E628E5"/>
    <w:rsid w:val="00E63511"/>
    <w:rsid w:val="00E7207F"/>
    <w:rsid w:val="00E81474"/>
    <w:rsid w:val="00E851E2"/>
    <w:rsid w:val="00E86F48"/>
    <w:rsid w:val="00E90402"/>
    <w:rsid w:val="00E936C5"/>
    <w:rsid w:val="00E9483D"/>
    <w:rsid w:val="00E96513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22AE"/>
    <w:rsid w:val="00EF547A"/>
    <w:rsid w:val="00EF630F"/>
    <w:rsid w:val="00EF7329"/>
    <w:rsid w:val="00EF773A"/>
    <w:rsid w:val="00F0124E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1A83"/>
    <w:rsid w:val="00F23926"/>
    <w:rsid w:val="00F24E23"/>
    <w:rsid w:val="00F300ED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523"/>
    <w:rsid w:val="00F95638"/>
    <w:rsid w:val="00FB36DB"/>
    <w:rsid w:val="00FC4AA5"/>
    <w:rsid w:val="00FC57CF"/>
    <w:rsid w:val="00FC6738"/>
    <w:rsid w:val="00FE3030"/>
    <w:rsid w:val="00FE35EF"/>
    <w:rsid w:val="00FF1B7E"/>
    <w:rsid w:val="00FF648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810C-90F0-473F-A45C-A6EFE10F891A}">
  <ds:schemaRefs>
    <ds:schemaRef ds:uri="http://www.w3.org/XML/1998/namespace"/>
    <ds:schemaRef ds:uri="http://schemas.microsoft.com/sharepoint/v4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67BB8-C15C-4EF2-9415-8F546983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4</cp:revision>
  <cp:lastPrinted>2021-07-13T04:33:00Z</cp:lastPrinted>
  <dcterms:created xsi:type="dcterms:W3CDTF">2021-07-13T04:24:00Z</dcterms:created>
  <dcterms:modified xsi:type="dcterms:W3CDTF">2021-07-13T04:33:00Z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